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23845.xml.htm"/>
      <w:bookmarkStart w:id="1" w:name="kswkform4_17866238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Jewell Marcus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 SHLOMO SHMELZER ROAD</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PETAH TIKVA</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4970602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Cellebrite DI Ltd.</w:t>
              </w:r>
            </w:hyperlink>
            <w:r>
              <w:rPr/>
              <w:t xml:space="preserve"> [ </w:t>
            </w:r>
            <w:r>
              <w:rPr>
                <w:rFonts w:ascii="Times;serif" w:hAnsi="Times;serif"/>
                <w:color w:val="0000FF"/>
                <w:sz w:val="24"/>
                <w:shd w:fill="FFFFFF" w:val="clear"/>
              </w:rPr>
              <w:t>CLBT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Global Chief Revenue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3"/>
        <w:gridCol w:w="915"/>
        <w:gridCol w:w="784"/>
        <w:gridCol w:w="608"/>
        <w:gridCol w:w="348"/>
        <w:gridCol w:w="796"/>
        <w:gridCol w:w="447"/>
        <w:gridCol w:w="983"/>
        <w:gridCol w:w="1156"/>
        <w:gridCol w:w="993"/>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0.00001</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411</w:t>
            </w:r>
            <w:r>
              <w:rPr>
                <w:rFonts w:ascii="Times;serif" w:hAnsi="Times;serif"/>
                <w:color w:val="008000"/>
                <w:position w:val="7"/>
                <w:sz w:val="16"/>
                <w:sz w:val="20"/>
                <w:shd w:fill="FFFFFF" w:val="clear"/>
              </w:rPr>
              <w:t>(1)</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16.0678</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439,690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reported as disposed herein were granted on February 11, 2025, in the form of restricted stock units ("RSUs"). The disposition of shares is associated with tax obligations of the reporting person associated with the vesting of the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$16.0086 to $16.08,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Marcus Jewell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5661" TargetMode="External"/><Relationship Id="rId5" Type="http://schemas.openxmlformats.org/officeDocument/2006/relationships/hyperlink" Target="http://www.sec.gov/cgi-bin/browse-edgar?action=getcompany&amp;CIK=00018545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684</Words>
  <Characters>3704</Characters>
  <CharactersWithSpaces>4318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