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555-6k_cellebrite.htm"/>
      <w:bookmarkStart w:id="1" w:name="ksea03065556k_cellebrite"/>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001-40772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Cellebrite DI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(Translation of registrant’s name into English)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Shmelzer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Petah Tikva 4970602,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pPr>
      <w:r>
        <w:rPr>
          <w:rFonts w:ascii="Times New Roman;Times;Serif" w:hAnsi="Times New Roman;Times;Serif"/>
          <w:b w:val="false"/>
          <w:i w:val="false"/>
          <w:caps w:val="false"/>
          <w:smallCaps w:val="false"/>
          <w:sz w:val="20"/>
        </w:rPr>
        <w:t>Cellebrite DI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Registrant</w:t>
      </w:r>
      <w:r>
        <w:rPr>
          <w:rFonts w:ascii="Times New Roman;Times;Serif" w:hAnsi="Times New Roman;Times;Serif"/>
          <w:b w:val="false"/>
          <w:i w:val="false"/>
          <w:caps w:val="false"/>
          <w:smallCaps w:val="false"/>
          <w:sz w:val="20"/>
        </w:rPr>
        <w:t>”) hereby announces the results of its annual general meeting of shareholders held on September 24, 2026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The shareholders of the Company approved (a) the re-election of Brandon Van Buren and Ryusuke Utsumi as Class II directors of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to hold office until the close of the annual meeting of the Company in 2029, and until their respective successors are duly elected and qualified, and (b) the compensation package of Mr. Shiven Ramji, the Company’s Chief Executive Officer, and (c) the Company’s compensation policy for officers and directors, and (d) the re-appointment of Kost Forer Gabbay &amp; Kasierer, a member of Ernst &amp; Young Global, as the Company’s independent auditors for the fiscal year ending on December 31, 2026 and until the next annual general meeting of shareholders, and to authorize the Board, upon the recommendation of the audit committee of the Board, to determine the auditor’s remuneration, each by the respective requisite majority in accordance with the Israeli Companies Law, 5759-1999, and the Company’s articles of association, as described in the Proxy Statement which was attached as </w:t>
      </w:r>
      <w:hyperlink r:id="rId2">
        <w:r>
          <w:rPr>
            <w:rStyle w:val="InternetLink"/>
            <w:rFonts w:ascii="Times New Roman;Times;Serif" w:hAnsi="Times New Roman;Times;Serif"/>
            <w:b w:val="false"/>
            <w:i w:val="false"/>
            <w:caps w:val="false"/>
            <w:smallCaps w:val="false"/>
            <w:sz w:val="20"/>
          </w:rPr>
          <w:t>Exhibit 99.1</w:t>
        </w:r>
      </w:hyperlink>
      <w:r>
        <w:rPr>
          <w:rFonts w:ascii="Times New Roman;Times;Serif" w:hAnsi="Times New Roman;Times;Serif"/>
          <w:b w:val="false"/>
          <w:i w:val="false"/>
          <w:caps w:val="false"/>
          <w:smallCaps w:val="false"/>
          <w:sz w:val="20"/>
        </w:rPr>
        <w:t xml:space="preserve"> to the Company’s Report of Foreign Private Issuer on </w:t>
      </w:r>
      <w:hyperlink r:id="rId3">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furnished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August 18, 2026, and sent in connection with the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204,331,510 ordinary shares, representing approximately 80.9% of the issued and outstanding ordinary shares as of the record date, were present or represented by proxy at the Meeting.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is incorporated by reference into the Registrant’s registration statements on Form S-8 (File Nos. </w:t>
      </w:r>
      <w:hyperlink r:id="rId4">
        <w:r>
          <w:rPr>
            <w:rStyle w:val="InternetLink"/>
            <w:rFonts w:ascii="Times New Roman;Times;Serif" w:hAnsi="Times New Roman;Times;Serif"/>
            <w:b w:val="false"/>
            <w:i w:val="false"/>
            <w:caps w:val="false"/>
            <w:smallCaps w:val="false"/>
            <w:sz w:val="20"/>
          </w:rPr>
          <w:t>333-260878</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333-278130</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333-293973</w:t>
        </w:r>
      </w:hyperlink>
      <w:r>
        <w:rPr>
          <w:rFonts w:ascii="Times New Roman;Times;Serif" w:hAnsi="Times New Roman;Times;Serif"/>
          <w:b w:val="false"/>
          <w:i w:val="false"/>
          <w:caps w:val="false"/>
          <w:smallCaps w:val="false"/>
          <w:sz w:val="20"/>
        </w:rPr>
        <w:t xml:space="preserve">) filed with the SEC on November 8, 2021, March 21, 2024 and March 3, 2026, respectively, and Form F-3 (File No. </w:t>
      </w:r>
      <w:hyperlink r:id="rId7">
        <w:r>
          <w:rPr>
            <w:rStyle w:val="InternetLink"/>
            <w:rFonts w:ascii="Times New Roman;Times;Serif" w:hAnsi="Times New Roman;Times;Serif"/>
            <w:b w:val="false"/>
            <w:i w:val="false"/>
            <w:caps w:val="false"/>
            <w:smallCaps w:val="false"/>
            <w:sz w:val="20"/>
          </w:rPr>
          <w:t>333-259826</w:t>
        </w:r>
      </w:hyperlink>
      <w:r>
        <w:rPr>
          <w:rFonts w:ascii="Times New Roman;Times;Serif" w:hAnsi="Times New Roman;Times;Serif"/>
          <w:b w:val="false"/>
          <w:i w:val="false"/>
          <w:caps w:val="false"/>
          <w:smallCaps w:val="false"/>
          <w:sz w:val="20"/>
        </w:rPr>
        <w:t>) filed with the SEC on September 13, 2022.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25" w:type="dxa"/>
        <w:jc w:val="left"/>
        <w:tblInd w:w="0" w:type="dxa"/>
        <w:tblLayout w:type="fixed"/>
        <w:tblCellMar>
          <w:top w:w="0" w:type="dxa"/>
          <w:left w:w="0" w:type="dxa"/>
          <w:bottom w:w="0" w:type="dxa"/>
          <w:right w:w="0" w:type="dxa"/>
        </w:tblCellMar>
      </w:tblPr>
      <w:tblGrid>
        <w:gridCol w:w="1655"/>
        <w:gridCol w:w="320"/>
        <w:gridCol w:w="1550"/>
      </w:tblGrid>
      <w:tr>
        <w:trPr/>
        <w:tc>
          <w:tcPr>
            <w:tcW w:w="1655" w:type="dxa"/>
            <w:tcBorders/>
            <w:vAlign w:val="center"/>
          </w:tcPr>
          <w:p>
            <w:pPr>
              <w:pStyle w:val="TableContents"/>
              <w:bidi w:val="0"/>
              <w:spacing w:before="0" w:after="283"/>
              <w:jc w:val="left"/>
              <w:rPr/>
            </w:pPr>
            <w:r>
              <w:rPr/>
              <w:t> </w:t>
            </w:r>
          </w:p>
        </w:tc>
        <w:tc>
          <w:tcPr>
            <w:tcW w:w="187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Cellebrite DI Ltd.</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t>
            </w:r>
            <w:r>
              <w:rPr>
                <w:rFonts w:ascii="Times New Roman;Times;Serif" w:hAnsi="Times New Roman;Times;Serif"/>
                <w:i/>
                <w:sz w:val="20"/>
              </w:rPr>
              <w:t>/ Holly Windham</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Holly Windham</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4587/000121390026091208/ea030247001ex99-1.htm" TargetMode="External"/><Relationship Id="rId3" Type="http://schemas.openxmlformats.org/officeDocument/2006/relationships/hyperlink" Target="https://www.sec.gov/Archives/edgar/data/1854587/000121390026091208/ea0302470-6k_cellebrite.htm" TargetMode="External"/><Relationship Id="rId4" Type="http://schemas.openxmlformats.org/officeDocument/2006/relationships/hyperlink" Target="https://www.sec.gov/Archives/edgar/data/1854587/000121390021057383/ea149645-s8_cellebrite.htm" TargetMode="External"/><Relationship Id="rId5" Type="http://schemas.openxmlformats.org/officeDocument/2006/relationships/hyperlink" Target="https://www.sec.gov/Archives/edgar/data/1854587/000121390024024537/ea0202191-s8_cellebrite.htm" TargetMode="External"/><Relationship Id="rId6" Type="http://schemas.openxmlformats.org/officeDocument/2006/relationships/hyperlink" Target="https://www.sec.gov/Archives/edgar/data/1854587/000121390026023144/ea0279365-s8_cellebrite.htm" TargetMode="External"/><Relationship Id="rId7" Type="http://schemas.openxmlformats.org/officeDocument/2006/relationships/hyperlink" Target="https://www.sec.gov/Archives/edgar/data/1854587/000121390022055637/posam2022a2_cellebrite.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444</Words>
  <Characters>2361</Characters>
  <CharactersWithSpaces>2813</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